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Cs w:val="21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line="600" w:lineRule="exact"/>
        <w:rPr>
          <w:rFonts w:ascii="仿宋_GB2312" w:hAnsi="华文中宋"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全国第七届大学生艺术展演活动艺术表演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节目和艺术作品的相关要求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33" w:firstLineChars="198"/>
        <w:rPr>
          <w:rFonts w:ascii="黑体" w:eastAsia="黑体"/>
          <w:sz w:val="32"/>
          <w:szCs w:val="32"/>
        </w:rPr>
      </w:pPr>
      <w:r>
        <w:rPr>
          <w:rFonts w:hint="eastAsia" w:ascii="黑体" w:hAnsi="Courier New" w:eastAsia="黑体" w:cs="Courier New"/>
          <w:kern w:val="0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</w:rPr>
        <w:t>艺术表演节目的要求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33" w:firstLineChars="198"/>
        <w:rPr>
          <w:rFonts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Courier New" w:eastAsia="仿宋_GB2312"/>
          <w:kern w:val="0"/>
          <w:sz w:val="32"/>
          <w:szCs w:val="32"/>
        </w:rPr>
        <w:t>艺术表演节目分为集体项目和个人项目，包括声乐、器乐、舞蹈、戏剧（戏曲）、朗诵五种类别。</w:t>
      </w:r>
    </w:p>
    <w:p>
      <w:pPr>
        <w:pStyle w:val="8"/>
        <w:numPr>
          <w:ilvl w:val="0"/>
          <w:numId w:val="1"/>
        </w:numPr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集体项目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1.声乐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合唱：合唱队人数不超过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/>
          <w:sz w:val="32"/>
          <w:szCs w:val="32"/>
        </w:rPr>
        <w:t>人，钢琴伴奏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人，指挥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人（应为本校教师），每支合唱队可演唱两首作品（其中至少一首中国作品），演出时间不超过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小合唱或表演唱：人数不超过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人（含伴奏），不设指挥，不得伴舞，演出时间不超过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2.器乐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合奏：乐队人数不超过</w:t>
      </w:r>
      <w:r>
        <w:rPr>
          <w:rFonts w:ascii="仿宋_GB2312" w:eastAsia="仿宋_GB2312"/>
          <w:sz w:val="32"/>
          <w:szCs w:val="32"/>
        </w:rPr>
        <w:t>65</w:t>
      </w:r>
      <w:r>
        <w:rPr>
          <w:rFonts w:hint="eastAsia" w:ascii="仿宋_GB2312" w:eastAsia="仿宋_GB2312"/>
          <w:sz w:val="32"/>
          <w:szCs w:val="32"/>
        </w:rPr>
        <w:t>人，指挥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人（鼓励本校教师担任），演出时间不超过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分钟，鼓励演奏中国作品。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小合奏或重奏：人数不超过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2人，不设指挥，演出时间不超过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3.舞蹈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群舞：人数不超过</w:t>
      </w:r>
      <w:r>
        <w:rPr>
          <w:rFonts w:ascii="仿宋_GB2312" w:eastAsia="仿宋_GB2312"/>
          <w:sz w:val="32"/>
          <w:szCs w:val="32"/>
        </w:rPr>
        <w:t>36</w:t>
      </w:r>
      <w:r>
        <w:rPr>
          <w:rFonts w:hint="eastAsia" w:ascii="仿宋_GB2312" w:eastAsia="仿宋_GB2312"/>
          <w:sz w:val="32"/>
          <w:szCs w:val="32"/>
        </w:rPr>
        <w:t>人，演出时间不超过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4.戏剧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含戏曲、校</w:t>
      </w:r>
      <w:r>
        <w:rPr>
          <w:rFonts w:hint="eastAsia" w:ascii="仿宋_GB2312" w:eastAsia="仿宋_GB2312"/>
          <w:sz w:val="32"/>
          <w:szCs w:val="32"/>
        </w:rPr>
        <w:t>园短剧、小品、歌舞剧、音乐剧等。人数不超过12人（含伴奏），演出时间不超过12分钟。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5.朗诵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作品文体不限，须使用普通话，人数不超过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人（含伴奏，学生不作道具设置，不得伴舞），演出时间不超过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left="420" w:leftChars="200" w:firstLine="320" w:firstLineChars="1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（二）个人项目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1.声乐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声乐节目包括美声、民族、通俗三类唱法，自选一首作品演唱，自行安排钢琴伴奏人员，时间不超过5分钟。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2.器乐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自选一件乐器演奏，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可从中国乐器（二胡、琵琶、扬琴、古筝、笛子等）、外国乐器（钢琴、手风琴、小提琴、大提琴、长笛、单簧管、小号等）中选择，</w:t>
      </w:r>
      <w:r>
        <w:rPr>
          <w:rFonts w:hint="eastAsia" w:ascii="仿宋_GB2312" w:eastAsia="仿宋_GB2312"/>
          <w:sz w:val="32"/>
          <w:szCs w:val="32"/>
        </w:rPr>
        <w:t>乐器自备，不带伴奏，时间不超过5分钟。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3.舞蹈</w:t>
      </w:r>
    </w:p>
    <w:p>
      <w:pPr>
        <w:shd w:val="clear" w:color="auto" w:fill="FFFFFF"/>
        <w:spacing w:line="600" w:lineRule="exact"/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舞蹈节目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包括民族舞、古典舞、芭蕾舞，自选一个舞蹈片段表演，时间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不超过5分钟。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4.戏曲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自选一个戏曲片段表演，时间不超过8分钟。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5.朗诵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作品文体不限，须使用普通话，时间不超过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二、艺术作品的要求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（一）绘画作品</w:t>
      </w:r>
    </w:p>
    <w:p>
      <w:pPr>
        <w:pStyle w:val="8"/>
        <w:widowControl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国画、水彩</w:t>
      </w:r>
      <w:r>
        <w:rPr>
          <w:rFonts w:ascii="仿宋_GB2312" w:hAnsi="宋体" w:eastAsia="仿宋_GB2312"/>
          <w:sz w:val="32"/>
          <w:szCs w:val="32"/>
        </w:rPr>
        <w:t>/</w:t>
      </w:r>
      <w:r>
        <w:rPr>
          <w:rFonts w:hint="eastAsia" w:ascii="仿宋_GB2312" w:hAnsi="宋体" w:eastAsia="仿宋_GB2312"/>
          <w:sz w:val="32"/>
          <w:szCs w:val="32"/>
        </w:rPr>
        <w:t>水粉画（丙烯画）、版画、油画，或其他画种。尺寸：国画不超过四尺宣</w:t>
      </w:r>
      <w:r>
        <w:rPr>
          <w:rFonts w:hint="eastAsia" w:ascii="仿宋_GB2312" w:eastAsia="仿宋_GB2312"/>
          <w:sz w:val="32"/>
          <w:szCs w:val="32"/>
        </w:rPr>
        <w:t>纸（</w:t>
      </w:r>
      <w:r>
        <w:rPr>
          <w:rFonts w:ascii="仿宋_GB2312" w:eastAsia="仿宋_GB2312"/>
          <w:sz w:val="32"/>
          <w:szCs w:val="32"/>
        </w:rPr>
        <w:t>69cm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ascii="仿宋_GB2312" w:eastAsia="仿宋_GB2312"/>
          <w:sz w:val="32"/>
          <w:szCs w:val="32"/>
        </w:rPr>
        <w:t>138cm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对开，其他画种尺寸均不超过对开（</w:t>
      </w:r>
      <w:r>
        <w:rPr>
          <w:rFonts w:ascii="仿宋_GB2312" w:hAnsi="宋体" w:eastAsia="仿宋_GB2312"/>
          <w:sz w:val="32"/>
          <w:szCs w:val="32"/>
        </w:rPr>
        <w:t>54cm</w:t>
      </w:r>
      <w:r>
        <w:rPr>
          <w:rFonts w:hint="eastAsia" w:ascii="仿宋_GB2312" w:hAnsi="宋体" w:eastAsia="仿宋_GB2312"/>
          <w:sz w:val="32"/>
          <w:szCs w:val="32"/>
        </w:rPr>
        <w:t>×</w:t>
      </w:r>
      <w:r>
        <w:rPr>
          <w:rFonts w:ascii="仿宋_GB2312" w:hAnsi="宋体" w:eastAsia="仿宋_GB2312"/>
          <w:sz w:val="32"/>
          <w:szCs w:val="32"/>
        </w:rPr>
        <w:t>78cm</w:t>
      </w:r>
      <w:r>
        <w:rPr>
          <w:rFonts w:hint="eastAsia" w:ascii="仿宋_GB2312" w:hAnsi="宋体" w:eastAsia="仿宋_GB2312"/>
          <w:sz w:val="32"/>
          <w:szCs w:val="32"/>
        </w:rPr>
        <w:t>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（二）书法、篆刻作品</w:t>
      </w:r>
    </w:p>
    <w:p>
      <w:pPr>
        <w:spacing w:line="580" w:lineRule="exact"/>
        <w:ind w:firstLine="640" w:firstLineChars="200"/>
        <w:rPr>
          <w:rFonts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书法、篆刻作品尺寸不超过四尺宣纸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（</w:t>
      </w:r>
      <w:r>
        <w:rPr>
          <w:rFonts w:ascii="仿宋_GB2312" w:hAnsi="Courier New" w:eastAsia="仿宋_GB2312"/>
          <w:kern w:val="0"/>
          <w:sz w:val="32"/>
          <w:szCs w:val="32"/>
        </w:rPr>
        <w:t>69cm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×</w:t>
      </w:r>
      <w:r>
        <w:rPr>
          <w:rFonts w:ascii="仿宋_GB2312" w:hAnsi="Courier New" w:eastAsia="仿宋_GB2312"/>
          <w:kern w:val="0"/>
          <w:sz w:val="32"/>
          <w:szCs w:val="32"/>
        </w:rPr>
        <w:t>138cm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（三）摄影作品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单张照和组照（每组不超过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幅，需标明顺序号）尺寸均为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英寸（</w:t>
      </w:r>
      <w:r>
        <w:rPr>
          <w:rFonts w:ascii="仿宋_GB2312" w:eastAsia="仿宋_GB2312"/>
          <w:sz w:val="32"/>
          <w:szCs w:val="32"/>
        </w:rPr>
        <w:t>30.48cm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ascii="仿宋_GB2312" w:eastAsia="仿宋_GB2312"/>
          <w:sz w:val="32"/>
          <w:szCs w:val="32"/>
        </w:rPr>
        <w:t>35.56cm</w:t>
      </w:r>
      <w:r>
        <w:rPr>
          <w:rFonts w:hint="eastAsia" w:ascii="仿宋_GB2312" w:eastAsia="仿宋_GB2312"/>
          <w:sz w:val="32"/>
          <w:szCs w:val="32"/>
        </w:rPr>
        <w:t>）；除影调处理外，不得利用电脑和暗房技术改变影像原貌。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（四）设计</w:t>
      </w:r>
    </w:p>
    <w:p>
      <w:pPr>
        <w:pStyle w:val="8"/>
        <w:spacing w:line="580" w:lineRule="exact"/>
        <w:ind w:firstLine="640" w:firstLineChars="200"/>
        <w:rPr>
          <w:rFonts w:ascii="仿宋_GB2312" w:hAnsi="华文中宋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含平面设计和立体设计。平面设计作品尺寸不超过对开（54cm×78</w:t>
      </w:r>
      <w:r>
        <w:rPr>
          <w:rFonts w:ascii="仿宋_GB2312" w:eastAsia="仿宋_GB2312"/>
          <w:sz w:val="32"/>
          <w:szCs w:val="32"/>
        </w:rPr>
        <w:t>cm</w:t>
      </w:r>
      <w:r>
        <w:rPr>
          <w:rFonts w:hint="eastAsia" w:ascii="仿宋_GB2312" w:eastAsia="仿宋_GB2312"/>
          <w:sz w:val="32"/>
          <w:szCs w:val="32"/>
        </w:rPr>
        <w:t>）,立体设计作品尺寸不超过50cm（长）×50cm（宽）×50cm（高）。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（五）微电影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片长不超过15分钟，</w:t>
      </w:r>
      <w:r>
        <w:rPr>
          <w:rFonts w:hint="eastAsia" w:ascii="仿宋_GB2312" w:hAnsi="仿宋" w:eastAsia="仿宋_GB2312"/>
          <w:sz w:val="32"/>
          <w:szCs w:val="32"/>
        </w:rPr>
        <w:t>视频统一采用MP4或</w:t>
      </w:r>
      <w:r>
        <w:rPr>
          <w:rFonts w:ascii="仿宋_GB2312" w:hAnsi="仿宋" w:eastAsia="仿宋_GB2312"/>
          <w:sz w:val="32"/>
          <w:szCs w:val="32"/>
        </w:rPr>
        <w:t>MPG2</w:t>
      </w:r>
      <w:r>
        <w:rPr>
          <w:rFonts w:hint="eastAsia" w:ascii="仿宋_GB2312" w:hAnsi="仿宋" w:eastAsia="仿宋_GB2312"/>
          <w:sz w:val="32"/>
          <w:szCs w:val="32"/>
        </w:rPr>
        <w:t>格式，</w:t>
      </w:r>
      <w:r>
        <w:rPr>
          <w:rFonts w:hint="eastAsia" w:ascii="仿宋_GB2312" w:eastAsia="仿宋_GB2312"/>
          <w:sz w:val="32"/>
          <w:szCs w:val="32"/>
        </w:rPr>
        <w:t>作者须保留MOV或AVI格式视频文件。</w:t>
      </w: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三、节目和作品报送要求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（一）各省级教育行政部门在组织省级展演并公示基础上，根据分配名额报送节目和作品。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1.总体比例。各省份报送的艺术表演节目和艺术作品，甲组均不低于60％，乙组均不超过40％；集体项目不低于70%，个人项目不超过30%。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2.艺术表演节目。报送数量在10个以上的省份，每个项目（声乐、器乐、舞蹈、戏剧、朗诵）须分别至少有1个节目、</w:t>
      </w:r>
      <w:r>
        <w:rPr>
          <w:rFonts w:hint="eastAsia" w:ascii="仿宋_GB2312" w:hAnsi="华文中宋" w:eastAsia="仿宋_GB2312"/>
          <w:sz w:val="32"/>
          <w:szCs w:val="32"/>
        </w:rPr>
        <w:t>且</w:t>
      </w:r>
      <w:r>
        <w:rPr>
          <w:rFonts w:hint="eastAsia" w:ascii="仿宋_GB2312" w:eastAsia="仿宋_GB2312"/>
          <w:sz w:val="32"/>
          <w:szCs w:val="32"/>
        </w:rPr>
        <w:t>不超过本地报送节目总数的30%。同一学校在同一类项目上只能报送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个节目，不同项目可兼报。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3.艺术作品。学生艺术作品（绘画、书法/篆刻、摄影、设计、微电影）每人限报1件。</w:t>
      </w:r>
      <w:r>
        <w:rPr>
          <w:rFonts w:hint="eastAsia" w:ascii="仿宋_GB2312" w:hAnsi="仿宋" w:eastAsia="仿宋_GB2312"/>
          <w:sz w:val="32"/>
          <w:szCs w:val="32"/>
        </w:rPr>
        <w:t>校长书画摄影作品每人限报1幅。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4.艺术表演类集体项目的参加者、学生艺术作品的创作者必须是同一学校的学生。艺术表演类个人项目每名学生只能报一个节目，且不得与集体项目兼报。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（二）格式要求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艺术表演</w:t>
      </w:r>
      <w:r>
        <w:rPr>
          <w:rFonts w:hint="eastAsia" w:ascii="仿宋_GB2312" w:hAnsi="仿宋" w:eastAsia="仿宋_GB2312"/>
          <w:sz w:val="32"/>
          <w:szCs w:val="32"/>
        </w:rPr>
        <w:t>节目报送视频。视频采用</w:t>
      </w:r>
      <w:r>
        <w:rPr>
          <w:rFonts w:ascii="仿宋_GB2312" w:hAnsi="仿宋" w:eastAsia="仿宋_GB2312"/>
          <w:sz w:val="32"/>
          <w:szCs w:val="32"/>
        </w:rPr>
        <w:t>MP</w:t>
      </w:r>
      <w:r>
        <w:rPr>
          <w:rFonts w:hint="eastAsia" w:ascii="仿宋_GB2312" w:hAnsi="仿宋" w:eastAsia="仿宋_GB2312"/>
          <w:sz w:val="32"/>
          <w:szCs w:val="32"/>
        </w:rPr>
        <w:t>4或MPG2格式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压缩带宽不低于</w:t>
      </w:r>
      <w:r>
        <w:rPr>
          <w:rFonts w:ascii="仿宋_GB2312" w:hAnsi="仿宋" w:eastAsia="仿宋_GB2312"/>
          <w:sz w:val="32"/>
          <w:szCs w:val="32"/>
        </w:rPr>
        <w:t>10M</w:t>
      </w:r>
      <w:r>
        <w:rPr>
          <w:rFonts w:hint="eastAsia" w:ascii="仿宋_GB2312" w:hAnsi="仿宋" w:eastAsia="仿宋_GB2312"/>
          <w:sz w:val="32"/>
          <w:szCs w:val="32"/>
        </w:rPr>
        <w:t>，分辨率</w:t>
      </w:r>
      <w:r>
        <w:rPr>
          <w:rFonts w:ascii="仿宋_GB2312" w:hAnsi="仿宋" w:eastAsia="仿宋_GB2312"/>
          <w:sz w:val="32"/>
          <w:szCs w:val="32"/>
        </w:rPr>
        <w:t>1920</w:t>
      </w: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ascii="仿宋_GB2312" w:hAnsi="仿宋" w:eastAsia="仿宋_GB2312"/>
          <w:sz w:val="32"/>
          <w:szCs w:val="32"/>
        </w:rPr>
        <w:t>1080</w:t>
      </w:r>
      <w:r>
        <w:rPr>
          <w:rFonts w:hint="eastAsia" w:ascii="仿宋_GB2312" w:hAnsi="仿宋" w:eastAsia="仿宋_GB2312"/>
          <w:sz w:val="32"/>
          <w:szCs w:val="32"/>
        </w:rPr>
        <w:t>），使用一个固定机位正面全景录制，声音和图像须同期录制，不得后期配音合成。每个节目视频以单独文件制作（文件大小不超过1G，不要多个文件合成）并以“节目名称”命名，</w:t>
      </w:r>
      <w:r>
        <w:rPr>
          <w:rFonts w:hint="eastAsia" w:ascii="仿宋_GB2312" w:eastAsia="仿宋_GB2312"/>
          <w:sz w:val="32"/>
          <w:szCs w:val="32"/>
        </w:rPr>
        <w:t>播放的内容中不得出现所在地区、学校名称、学生姓名和指导教师姓名等信息。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艺术作品不需装裱，需</w:t>
      </w:r>
      <w:r>
        <w:rPr>
          <w:rFonts w:hint="eastAsia" w:ascii="仿宋_GB2312" w:hAnsi="仿宋" w:eastAsia="仿宋_GB2312"/>
          <w:sz w:val="32"/>
          <w:szCs w:val="32"/>
        </w:rPr>
        <w:t>附400字以内的创作说明。</w:t>
      </w:r>
      <w:r>
        <w:rPr>
          <w:rFonts w:hint="eastAsia" w:ascii="仿宋_GB2312" w:eastAsia="仿宋_GB2312"/>
          <w:sz w:val="32"/>
          <w:szCs w:val="32"/>
        </w:rPr>
        <w:t>作品以数码照片和原件两种方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式报送。</w:t>
      </w:r>
      <w:r>
        <w:rPr>
          <w:rFonts w:hint="eastAsia" w:ascii="仿宋_GB2312" w:hAnsi="仿宋" w:eastAsia="仿宋_GB2312"/>
          <w:sz w:val="32"/>
          <w:szCs w:val="32"/>
        </w:rPr>
        <w:t>作品的数码照片要求：</w:t>
      </w:r>
      <w:r>
        <w:rPr>
          <w:rFonts w:ascii="仿宋_GB2312" w:hAnsi="仿宋" w:eastAsia="仿宋_GB2312"/>
          <w:sz w:val="32"/>
          <w:szCs w:val="32"/>
        </w:rPr>
        <w:t>JPG</w:t>
      </w:r>
      <w:r>
        <w:rPr>
          <w:rFonts w:hint="eastAsia" w:ascii="仿宋_GB2312" w:hAnsi="仿宋" w:eastAsia="仿宋_GB2312"/>
          <w:sz w:val="32"/>
          <w:szCs w:val="32"/>
        </w:rPr>
        <w:t>格式，大小不低于</w:t>
      </w:r>
      <w:r>
        <w:rPr>
          <w:rFonts w:ascii="仿宋_GB2312" w:hAnsi="仿宋" w:eastAsia="仿宋_GB2312"/>
          <w:sz w:val="32"/>
          <w:szCs w:val="32"/>
        </w:rPr>
        <w:t>10M</w:t>
      </w:r>
      <w:r>
        <w:rPr>
          <w:rFonts w:hint="eastAsia" w:ascii="仿宋_GB2312" w:hAnsi="仿宋" w:eastAsia="仿宋_GB2312"/>
          <w:sz w:val="32"/>
          <w:szCs w:val="32"/>
        </w:rPr>
        <w:t>，分辨率达到</w:t>
      </w:r>
      <w:r>
        <w:rPr>
          <w:rFonts w:ascii="仿宋_GB2312" w:hAnsi="仿宋" w:eastAsia="仿宋_GB2312"/>
          <w:sz w:val="32"/>
          <w:szCs w:val="32"/>
        </w:rPr>
        <w:t>300dpi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学生艺术作品须在背面用铅笔注明作品种类、作者姓名、所在地区、学校名称、所在院系、学生专业、指导教师姓名等信息；高校校长书画摄影作品须在</w:t>
      </w:r>
      <w:r>
        <w:rPr>
          <w:rFonts w:hint="eastAsia" w:ascii="仿宋_GB2312" w:hAnsi="仿宋" w:eastAsia="仿宋_GB2312"/>
          <w:sz w:val="32"/>
          <w:szCs w:val="32"/>
        </w:rPr>
        <w:t>背面注明作品名称、作者姓名、所在单位、职务、联系电话等信息。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教育部对获奖节目和作品有权在国家智慧教育平台展示，或在中外人文交流以及展览、宣传等相关活动中使用，不支付作者稿酬，作者享有署名权。艺术作品原则上不退还作者。获奖作品统一由专业美术馆收藏，并给作者发放收藏证书。</w:t>
      </w:r>
    </w:p>
    <w:p>
      <w:pPr>
        <w:spacing w:line="580" w:lineRule="exact"/>
        <w:ind w:firstLine="633" w:firstLineChars="1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（四）报送艺术表演节目和艺术作品时，学校要严格把关，确保信息真实并避免产生著作权纠纷。如存在虚假信息或发生著作权问题，取消获奖资格，由作者承担相关责任。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全国第七届大学生艺术展演活动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学生艺术实践工作坊的相关要求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ourier New" w:eastAsia="仿宋_GB2312"/>
          <w:kern w:val="0"/>
          <w:sz w:val="32"/>
          <w:szCs w:val="32"/>
        </w:rPr>
        <w:t>学生艺术实践工作坊</w:t>
      </w:r>
      <w:r>
        <w:rPr>
          <w:rFonts w:hint="eastAsia" w:ascii="仿宋_GB2312" w:eastAsia="仿宋_GB2312"/>
          <w:sz w:val="32"/>
          <w:szCs w:val="32"/>
        </w:rPr>
        <w:t>是一项集体性、实践性、互动性、体验性的视觉艺术创作实践项目。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一、工作坊内容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围绕“艺术与科技”“艺术与生活”“艺术与美丽乡村”“艺术与校园”四个项目开展活动。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（一）艺术与科技。</w:t>
      </w:r>
      <w:r>
        <w:rPr>
          <w:rFonts w:hint="eastAsia" w:ascii="仿宋_GB2312" w:eastAsia="仿宋_GB2312"/>
          <w:sz w:val="32"/>
          <w:szCs w:val="32"/>
        </w:rPr>
        <w:t>基于信息时代和科技革命，用艺术形式助力科技水平提升，服务经济社会发展，促进产业升级和成果转化、建设现代化产业体系，展示艺术与人工智能、航天技术、信息技术、新材料等深度融合的探索实践。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（二）艺术与生活。</w:t>
      </w:r>
      <w:r>
        <w:rPr>
          <w:rFonts w:hint="eastAsia" w:ascii="仿宋_GB2312" w:eastAsia="仿宋_GB2312"/>
          <w:sz w:val="32"/>
          <w:szCs w:val="32"/>
        </w:rPr>
        <w:t>展现艺术与生活融合，把艺术成果服务于人民群众的高品质生活需求，用艺术创造</w:t>
      </w:r>
      <w:r>
        <w:rPr>
          <w:rFonts w:hint="eastAsia" w:ascii="仿宋_GB2312" w:hAnsi="华文中宋" w:eastAsia="仿宋_GB2312"/>
          <w:sz w:val="32"/>
          <w:szCs w:val="32"/>
        </w:rPr>
        <w:t>美好</w:t>
      </w:r>
      <w:r>
        <w:rPr>
          <w:rFonts w:hint="eastAsia" w:ascii="仿宋_GB2312" w:eastAsia="仿宋_GB2312"/>
          <w:sz w:val="32"/>
          <w:szCs w:val="32"/>
        </w:rPr>
        <w:t>生活，提升审美韵味、生活品位。展示美好生活品质的创意创新实践，如日用品、装饰品的设计制作等。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（三）艺术与美丽乡村。</w:t>
      </w:r>
      <w:r>
        <w:rPr>
          <w:rFonts w:hint="eastAsia" w:ascii="仿宋_GB2312" w:eastAsia="仿宋_GB2312"/>
          <w:sz w:val="32"/>
          <w:szCs w:val="32"/>
        </w:rPr>
        <w:t>聚焦共同富裕，助力乡村振兴，展现艺术与美丽乡村建设融合，将艺术元素应用于乡村规划建设、生态环境保护，发展乡村特色产业，推进美丽中国建设。展示推动乡村发展的创意创新实践，如农村景观设计、主题墙绘、农副产品包装设计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（四）艺术与校园。</w:t>
      </w:r>
      <w:r>
        <w:rPr>
          <w:rFonts w:hint="eastAsia" w:ascii="仿宋_GB2312" w:eastAsia="仿宋_GB2312"/>
          <w:sz w:val="32"/>
          <w:szCs w:val="32"/>
        </w:rPr>
        <w:t>用艺术美化校园，助力教育资源数字化建设，引领学校审美品味，营造良好校园文化氛围，展示校园文化创意创新实践，如校内环境设计、教室环境创设、校服设计、学习用品（用具）设计等。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二、报送要求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申报材料包括项目基本信息、项目简介、设计思路和特色描述、展区设计方案和反映工作坊项目的现场实践视频（时长不超过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分钟，采用MP4或</w:t>
      </w:r>
      <w:r>
        <w:rPr>
          <w:rFonts w:ascii="仿宋_GB2312" w:eastAsia="仿宋_GB2312"/>
          <w:sz w:val="32"/>
          <w:szCs w:val="32"/>
        </w:rPr>
        <w:t>MPG2</w:t>
      </w:r>
      <w:r>
        <w:rPr>
          <w:rFonts w:hint="eastAsia" w:ascii="仿宋_GB2312" w:eastAsia="仿宋_GB2312"/>
          <w:sz w:val="32"/>
          <w:szCs w:val="32"/>
        </w:rPr>
        <w:t>格式）。历届已获奖工作坊不得重复申报。</w:t>
      </w:r>
    </w:p>
    <w:p>
      <w:pPr>
        <w:pStyle w:val="8"/>
        <w:spacing w:line="580" w:lineRule="exact"/>
        <w:ind w:firstLine="640" w:firstLineChars="200"/>
        <w:rPr>
          <w:rFonts w:hAnsi="黑体" w:cs="黑体"/>
          <w:bCs/>
          <w:sz w:val="32"/>
          <w:szCs w:val="32"/>
        </w:rPr>
      </w:pPr>
      <w:r>
        <w:rPr>
          <w:rFonts w:hint="eastAsia" w:hAnsi="黑体"/>
          <w:sz w:val="32"/>
          <w:szCs w:val="32"/>
        </w:rPr>
        <w:t>三、</w:t>
      </w:r>
      <w:r>
        <w:rPr>
          <w:rFonts w:hint="eastAsia" w:hAnsi="黑体" w:cs="黑体"/>
          <w:bCs/>
          <w:sz w:val="32"/>
          <w:szCs w:val="32"/>
        </w:rPr>
        <w:t>组队与人员要求</w:t>
      </w:r>
    </w:p>
    <w:p>
      <w:pPr>
        <w:pStyle w:val="8"/>
        <w:spacing w:line="5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以高校为单位组队，一队一坊，每队参展人数为10人，其中学生7—9人，指导教师1—3人。</w:t>
      </w:r>
    </w:p>
    <w:p>
      <w:pPr>
        <w:pStyle w:val="8"/>
        <w:spacing w:line="580" w:lineRule="exact"/>
        <w:ind w:firstLine="640" w:firstLineChars="200"/>
        <w:rPr>
          <w:rFonts w:hAnsi="黑体"/>
          <w:sz w:val="32"/>
          <w:szCs w:val="32"/>
        </w:rPr>
      </w:pPr>
      <w:r>
        <w:rPr>
          <w:rFonts w:hint="eastAsia" w:hAnsi="黑体" w:cs="黑体"/>
          <w:bCs/>
          <w:sz w:val="32"/>
          <w:szCs w:val="32"/>
        </w:rPr>
        <w:t>四、</w:t>
      </w:r>
      <w:r>
        <w:rPr>
          <w:rFonts w:hint="eastAsia" w:hAnsi="黑体"/>
          <w:sz w:val="32"/>
          <w:szCs w:val="32"/>
        </w:rPr>
        <w:t>展示要求</w:t>
      </w:r>
    </w:p>
    <w:p>
      <w:pPr>
        <w:spacing w:line="580" w:lineRule="exact"/>
        <w:ind w:firstLine="640" w:firstLineChars="200"/>
        <w:rPr>
          <w:rFonts w:ascii="仿宋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入围参加全国现场展示的工作坊由组委会统一提供展位和基础平台，每个展位尺寸为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米（长）×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米（宽）×2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5米（高），展位内的平台包括</w:t>
      </w:r>
      <w:r>
        <w:rPr>
          <w:rFonts w:hint="eastAsia" w:ascii="仿宋_GB2312" w:hAnsi="华文中宋" w:eastAsia="仿宋_GB2312"/>
          <w:sz w:val="32"/>
          <w:szCs w:val="32"/>
        </w:rPr>
        <w:t>一定数量</w:t>
      </w:r>
      <w:r>
        <w:rPr>
          <w:rFonts w:hint="eastAsia" w:ascii="仿宋_GB2312" w:eastAsia="仿宋_GB2312"/>
          <w:sz w:val="32"/>
          <w:szCs w:val="32"/>
        </w:rPr>
        <w:t>的展台、操作台和座椅组合，</w:t>
      </w:r>
      <w:r>
        <w:rPr>
          <w:rFonts w:hint="eastAsia" w:ascii="仿宋_GB2312" w:hAnsi="华文中宋" w:eastAsia="仿宋_GB2312"/>
          <w:sz w:val="32"/>
          <w:szCs w:val="32"/>
        </w:rPr>
        <w:t>展位和平台的具体布置由各参展队伍负责。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全国第七届大学生艺术展演活动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高校美育改革创新优秀案例的相关要求</w:t>
      </w:r>
    </w:p>
    <w:p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高校美育改革创新优秀案例是一省份、一校、一院系坚持目标导向和问题导向，在美育改革创新实践中所形成的具有引领性、突破性、示范性的做法、举措和经验。</w:t>
      </w:r>
    </w:p>
    <w:p>
      <w:pPr>
        <w:numPr>
          <w:ilvl w:val="0"/>
          <w:numId w:val="2"/>
        </w:numPr>
        <w:spacing w:line="600" w:lineRule="exact"/>
        <w:ind w:firstLine="642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选题范围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案例一般应包括背景、做法、成效、探讨等要素。应主题突出、层次分明、特色鲜明、资料翔实、语言生动，富有感染力。案例摘要300字左右，正文不超过5000字。展演活动重点围绕以下选题内容征集优秀案例。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（一）高校美育专兼职教师队伍建设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（二）高校公共艺术课程建设与推进模式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（三）高校美育评价体系建设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（四）高校学生艺术社团及实践工作坊建设</w:t>
      </w:r>
    </w:p>
    <w:p>
      <w:pPr>
        <w:widowControl/>
        <w:spacing w:line="600" w:lineRule="exact"/>
        <w:ind w:left="638" w:leftChars="304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（五）中华优秀传统文化传承基地建设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（六）高校开展美育浸润行动经验做法</w:t>
      </w:r>
    </w:p>
    <w:p>
      <w:pPr>
        <w:spacing w:line="600" w:lineRule="exact"/>
        <w:ind w:firstLine="642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（七）高校美育资源与社会艺术资源共享共建典型做法</w:t>
      </w:r>
    </w:p>
    <w:p>
      <w:pPr>
        <w:spacing w:line="600" w:lineRule="exact"/>
        <w:ind w:firstLine="642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（八）高校名师工作室建设经验做法</w:t>
      </w:r>
    </w:p>
    <w:p>
      <w:pPr>
        <w:spacing w:line="600" w:lineRule="exact"/>
        <w:ind w:firstLine="642"/>
        <w:rPr>
          <w:rFonts w:ascii="黑体" w:eastAsia="黑体"/>
          <w:sz w:val="32"/>
          <w:szCs w:val="32"/>
        </w:rPr>
      </w:pPr>
    </w:p>
    <w:p>
      <w:pPr>
        <w:spacing w:line="600" w:lineRule="exact"/>
        <w:ind w:firstLine="642"/>
        <w:rPr>
          <w:rFonts w:ascii="黑体" w:eastAsia="黑体"/>
          <w:sz w:val="32"/>
          <w:szCs w:val="32"/>
        </w:rPr>
      </w:pPr>
    </w:p>
    <w:p>
      <w:pPr>
        <w:spacing w:line="600" w:lineRule="exact"/>
        <w:ind w:firstLine="642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二、原则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（一）真实性。</w:t>
      </w:r>
      <w:r>
        <w:rPr>
          <w:rFonts w:hint="eastAsia" w:ascii="仿宋_GB2312" w:hAnsi="华文中宋" w:eastAsia="仿宋_GB2312"/>
          <w:sz w:val="32"/>
          <w:szCs w:val="32"/>
        </w:rPr>
        <w:t>因地因校制宜、从实际出发，充分体现时代要求和人民需求，禁止虚构、杜撰和抄袭。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（二）创新性。</w:t>
      </w:r>
      <w:r>
        <w:rPr>
          <w:rFonts w:hint="eastAsia" w:ascii="仿宋_GB2312" w:hAnsi="华文中宋" w:eastAsia="仿宋_GB2312"/>
          <w:sz w:val="32"/>
          <w:szCs w:val="32"/>
        </w:rPr>
        <w:t>以体制机制创新为突破口，为推进高校美育改革发展进行积极探索，方法上有创新，措施上有亮点。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（三）实效性。</w:t>
      </w:r>
      <w:r>
        <w:rPr>
          <w:rFonts w:hint="eastAsia" w:ascii="仿宋_GB2312" w:hAnsi="华文中宋" w:eastAsia="仿宋_GB2312"/>
          <w:sz w:val="32"/>
          <w:szCs w:val="32"/>
        </w:rPr>
        <w:t>对高校美育改革发展具有明显的推进作用，取得积极、良好的效果，得到广泛关注和认可。</w:t>
      </w:r>
    </w:p>
    <w:p>
      <w:pPr>
        <w:widowControl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（四）典型性。</w:t>
      </w:r>
      <w:r>
        <w:rPr>
          <w:rFonts w:hint="eastAsia" w:ascii="仿宋_GB2312" w:hAnsi="华文中宋" w:eastAsia="仿宋_GB2312"/>
          <w:sz w:val="32"/>
          <w:szCs w:val="32"/>
        </w:rPr>
        <w:t>具有一定的代表性，对其他地区、学校具有借鉴意义和应用价值。</w:t>
      </w:r>
    </w:p>
    <w:p>
      <w:pPr>
        <w:spacing w:line="600" w:lineRule="exact"/>
        <w:ind w:firstLine="642"/>
        <w:rPr>
          <w:rFonts w:ascii="仿宋_GB2312" w:eastAsia="黑体"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三、报送要求</w:t>
      </w:r>
    </w:p>
    <w:p>
      <w:pPr>
        <w:pStyle w:val="8"/>
        <w:spacing w:line="580" w:lineRule="exact"/>
        <w:ind w:firstLine="640" w:firstLineChars="200"/>
        <w:rPr>
          <w:rFonts w:ascii="楷体" w:hAnsi="楷体" w:eastAsia="楷体"/>
          <w:bCs/>
          <w:kern w:val="2"/>
          <w:sz w:val="32"/>
          <w:szCs w:val="32"/>
        </w:rPr>
      </w:pPr>
      <w:r>
        <w:rPr>
          <w:rFonts w:hint="eastAsia" w:ascii="楷体" w:hAnsi="楷体" w:eastAsia="楷体"/>
          <w:bCs/>
          <w:kern w:val="2"/>
          <w:sz w:val="32"/>
          <w:szCs w:val="32"/>
        </w:rPr>
        <w:t>（一）格式要求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1.A4纸张，上边距3.8厘米，下边距3.2厘米，左边距3.5厘米，右边距2.5厘米。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2.正文主标题居中对齐，使用华文中宋二号字。主标题的段后间距设为0.5行。如有副标题需另起一行，使用破折号加宋体小二号字如：“——******”。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3.正文一级标题使用黑体三号字，序号使用汉字加顿号如：“一、”。二级标题使用楷体三号字，序号使用汉字加括号如：“（一）”。三级标题使用仿宋三号字，序号使用三号Times New Roman字体的阿拉伯数字加点如：“1.”。</w:t>
      </w:r>
    </w:p>
    <w:p>
      <w:pPr>
        <w:spacing w:line="58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4.正文使用仿宋三号字，首行缩进两字符，行距设置为1.5倍。正文须配5—10幅插图，图片下方附50字以内说明，须注明拍摄者。</w:t>
      </w:r>
    </w:p>
    <w:p>
      <w:pPr>
        <w:pStyle w:val="8"/>
        <w:spacing w:line="580" w:lineRule="exact"/>
        <w:ind w:firstLine="640" w:firstLineChars="200"/>
        <w:rPr>
          <w:rFonts w:ascii="楷体" w:hAnsi="楷体" w:eastAsia="楷体"/>
          <w:bCs/>
          <w:kern w:val="2"/>
          <w:sz w:val="32"/>
          <w:szCs w:val="32"/>
        </w:rPr>
      </w:pPr>
      <w:r>
        <w:rPr>
          <w:rFonts w:hint="eastAsia" w:ascii="楷体" w:hAnsi="楷体" w:eastAsia="楷体"/>
          <w:bCs/>
          <w:kern w:val="2"/>
          <w:sz w:val="32"/>
          <w:szCs w:val="32"/>
        </w:rPr>
        <w:t>（二）报送方式</w:t>
      </w:r>
    </w:p>
    <w:p>
      <w:pPr>
        <w:spacing w:line="600" w:lineRule="exact"/>
        <w:ind w:firstLine="642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各省份要</w:t>
      </w: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在广泛征集案例的基础上，认真组织省级案例评选，举办省级优秀案例报告会</w:t>
      </w:r>
      <w:r>
        <w:rPr>
          <w:rFonts w:hint="eastAsia" w:ascii="仿宋_GB2312" w:hAnsi="华文中宋" w:eastAsia="仿宋_GB2312"/>
          <w:sz w:val="32"/>
          <w:szCs w:val="32"/>
        </w:rPr>
        <w:t>，并按照规定数量公示后推荐优秀案例报送全国展演活动组委会，</w:t>
      </w:r>
      <w:r>
        <w:rPr>
          <w:rFonts w:hint="eastAsia" w:ascii="仿宋_GB2312" w:eastAsia="仿宋_GB2312"/>
          <w:sz w:val="32"/>
          <w:szCs w:val="32"/>
        </w:rPr>
        <w:t>全国展演活动组委会</w:t>
      </w:r>
      <w:r>
        <w:rPr>
          <w:rFonts w:hint="eastAsia" w:ascii="仿宋_GB2312" w:hAnsi="华文中宋" w:eastAsia="仿宋_GB2312"/>
          <w:sz w:val="32"/>
          <w:szCs w:val="32"/>
        </w:rPr>
        <w:t>将评选出优秀案例</w:t>
      </w: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编印成集。</w:t>
      </w:r>
    </w:p>
    <w:p>
      <w:pPr>
        <w:spacing w:line="600" w:lineRule="exact"/>
        <w:ind w:firstLine="642"/>
        <w:rPr>
          <w:rFonts w:ascii="仿宋_GB2312" w:hAnsi="Courier New" w:eastAsia="仿宋_GB2312" w:cs="Courier New"/>
          <w:color w:val="0000FF"/>
          <w:kern w:val="0"/>
          <w:sz w:val="32"/>
          <w:szCs w:val="32"/>
        </w:rPr>
      </w:pPr>
    </w:p>
    <w:p>
      <w:pPr>
        <w:widowControl/>
        <w:jc w:val="left"/>
        <w:rPr>
          <w:kern w:val="0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B4A4CB-5517-4880-8A9A-51BB174638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2" w:fontKey="{EE3244AE-C093-4795-832A-78E84B673436}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0ACF73-C275-45FA-B43B-26797AD110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F1D3554-CC15-41EB-9DBD-66B5D606E9A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D944992-81E2-4941-B64C-1220BE9178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066564E-DA13-4E90-8874-05747635A88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E4EC3827-CE21-4257-9862-5C8978C9136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A954E6B4-B66D-4056-9053-46EDB8E359E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11D8019B-D104-4C66-B38E-152D57DA97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8it5sQBAACQ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+8it5s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EF5BF"/>
    <w:multiLevelType w:val="singleLevel"/>
    <w:tmpl w:val="82FEF5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A3C4B0"/>
    <w:multiLevelType w:val="singleLevel"/>
    <w:tmpl w:val="59A3C4B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ZiZWE1OTNhZmNiYzA3ZTgyOTIxMWI1ZDA5YTgifQ=="/>
    <w:docVar w:name="KSO_WPS_MARK_KEY" w:val="62dca9e0-c31d-4531-ba8c-74a5f2e1ed81"/>
  </w:docVars>
  <w:rsids>
    <w:rsidRoot w:val="00172A27"/>
    <w:rsid w:val="00015119"/>
    <w:rsid w:val="00061781"/>
    <w:rsid w:val="000679E5"/>
    <w:rsid w:val="000B76E1"/>
    <w:rsid w:val="000C72BB"/>
    <w:rsid w:val="00100BB7"/>
    <w:rsid w:val="0011688A"/>
    <w:rsid w:val="00131322"/>
    <w:rsid w:val="00134A75"/>
    <w:rsid w:val="0016571C"/>
    <w:rsid w:val="00170DBB"/>
    <w:rsid w:val="00172A27"/>
    <w:rsid w:val="00193588"/>
    <w:rsid w:val="001C2D74"/>
    <w:rsid w:val="001F2134"/>
    <w:rsid w:val="00206F65"/>
    <w:rsid w:val="002318F0"/>
    <w:rsid w:val="00277B24"/>
    <w:rsid w:val="0028270C"/>
    <w:rsid w:val="002C3CE5"/>
    <w:rsid w:val="002D1440"/>
    <w:rsid w:val="002D6FDE"/>
    <w:rsid w:val="002E5E76"/>
    <w:rsid w:val="00342C97"/>
    <w:rsid w:val="003577C5"/>
    <w:rsid w:val="003A15DA"/>
    <w:rsid w:val="003C0469"/>
    <w:rsid w:val="003C125F"/>
    <w:rsid w:val="003C2E4B"/>
    <w:rsid w:val="00404D5F"/>
    <w:rsid w:val="00415B43"/>
    <w:rsid w:val="00423C56"/>
    <w:rsid w:val="0044076C"/>
    <w:rsid w:val="00450836"/>
    <w:rsid w:val="00452CDC"/>
    <w:rsid w:val="00456081"/>
    <w:rsid w:val="00464D88"/>
    <w:rsid w:val="004B5B80"/>
    <w:rsid w:val="004C1B3C"/>
    <w:rsid w:val="004C3A01"/>
    <w:rsid w:val="004E08B3"/>
    <w:rsid w:val="004F30F0"/>
    <w:rsid w:val="0052212C"/>
    <w:rsid w:val="00534EC8"/>
    <w:rsid w:val="00551A28"/>
    <w:rsid w:val="005A103E"/>
    <w:rsid w:val="005E5BC3"/>
    <w:rsid w:val="00606A7D"/>
    <w:rsid w:val="00611D49"/>
    <w:rsid w:val="006176D2"/>
    <w:rsid w:val="0063162E"/>
    <w:rsid w:val="006429BE"/>
    <w:rsid w:val="006431A7"/>
    <w:rsid w:val="006534B8"/>
    <w:rsid w:val="00655939"/>
    <w:rsid w:val="006731E7"/>
    <w:rsid w:val="00683602"/>
    <w:rsid w:val="006A0BC1"/>
    <w:rsid w:val="006C7EE6"/>
    <w:rsid w:val="006E781F"/>
    <w:rsid w:val="006F3161"/>
    <w:rsid w:val="006F3ABF"/>
    <w:rsid w:val="006F6C6D"/>
    <w:rsid w:val="007208A1"/>
    <w:rsid w:val="00727113"/>
    <w:rsid w:val="007506AE"/>
    <w:rsid w:val="007673AD"/>
    <w:rsid w:val="0077108F"/>
    <w:rsid w:val="00773865"/>
    <w:rsid w:val="007A2E5E"/>
    <w:rsid w:val="007A4079"/>
    <w:rsid w:val="007C344B"/>
    <w:rsid w:val="007D7AA2"/>
    <w:rsid w:val="007F0BE3"/>
    <w:rsid w:val="00802E29"/>
    <w:rsid w:val="00811CB1"/>
    <w:rsid w:val="008274BD"/>
    <w:rsid w:val="00845E32"/>
    <w:rsid w:val="00860558"/>
    <w:rsid w:val="008A7897"/>
    <w:rsid w:val="008C3553"/>
    <w:rsid w:val="008E22F4"/>
    <w:rsid w:val="008F0EDF"/>
    <w:rsid w:val="00902CF7"/>
    <w:rsid w:val="0090606C"/>
    <w:rsid w:val="0091060E"/>
    <w:rsid w:val="00934051"/>
    <w:rsid w:val="00940E15"/>
    <w:rsid w:val="00970DAE"/>
    <w:rsid w:val="00981FE7"/>
    <w:rsid w:val="00984A6B"/>
    <w:rsid w:val="009A62A3"/>
    <w:rsid w:val="009B0874"/>
    <w:rsid w:val="009C060A"/>
    <w:rsid w:val="009D1252"/>
    <w:rsid w:val="009D773C"/>
    <w:rsid w:val="009E472A"/>
    <w:rsid w:val="00A3564A"/>
    <w:rsid w:val="00A36865"/>
    <w:rsid w:val="00A630CA"/>
    <w:rsid w:val="00A67564"/>
    <w:rsid w:val="00A713CD"/>
    <w:rsid w:val="00A80561"/>
    <w:rsid w:val="00A91D11"/>
    <w:rsid w:val="00A94DCB"/>
    <w:rsid w:val="00AA1C9E"/>
    <w:rsid w:val="00AA313F"/>
    <w:rsid w:val="00AA5F72"/>
    <w:rsid w:val="00AB030C"/>
    <w:rsid w:val="00AC2623"/>
    <w:rsid w:val="00AC3CD8"/>
    <w:rsid w:val="00AD34A5"/>
    <w:rsid w:val="00AE3E53"/>
    <w:rsid w:val="00B30951"/>
    <w:rsid w:val="00B423B6"/>
    <w:rsid w:val="00B843BD"/>
    <w:rsid w:val="00BA0309"/>
    <w:rsid w:val="00BA302B"/>
    <w:rsid w:val="00BD2AD0"/>
    <w:rsid w:val="00BD7571"/>
    <w:rsid w:val="00BF33C5"/>
    <w:rsid w:val="00BF4876"/>
    <w:rsid w:val="00BF5256"/>
    <w:rsid w:val="00BF708C"/>
    <w:rsid w:val="00C36B52"/>
    <w:rsid w:val="00C36DC2"/>
    <w:rsid w:val="00C44E8F"/>
    <w:rsid w:val="00C973A9"/>
    <w:rsid w:val="00CA2018"/>
    <w:rsid w:val="00CA5C4D"/>
    <w:rsid w:val="00CA64A8"/>
    <w:rsid w:val="00CA707A"/>
    <w:rsid w:val="00CC7309"/>
    <w:rsid w:val="00CC737D"/>
    <w:rsid w:val="00CF284B"/>
    <w:rsid w:val="00CF5858"/>
    <w:rsid w:val="00D33C4A"/>
    <w:rsid w:val="00D404BE"/>
    <w:rsid w:val="00D53493"/>
    <w:rsid w:val="00D56A84"/>
    <w:rsid w:val="00D6079E"/>
    <w:rsid w:val="00D859A2"/>
    <w:rsid w:val="00D87E97"/>
    <w:rsid w:val="00D91734"/>
    <w:rsid w:val="00D9643C"/>
    <w:rsid w:val="00DA6C2C"/>
    <w:rsid w:val="00DB0AB8"/>
    <w:rsid w:val="00DE38A1"/>
    <w:rsid w:val="00DE72D3"/>
    <w:rsid w:val="00E21DB0"/>
    <w:rsid w:val="00E23B2C"/>
    <w:rsid w:val="00E30805"/>
    <w:rsid w:val="00E44AAB"/>
    <w:rsid w:val="00E4568A"/>
    <w:rsid w:val="00E75BE7"/>
    <w:rsid w:val="00EA176E"/>
    <w:rsid w:val="00EB15BB"/>
    <w:rsid w:val="00EB439B"/>
    <w:rsid w:val="00EB4CFF"/>
    <w:rsid w:val="00ED07EA"/>
    <w:rsid w:val="00EE2591"/>
    <w:rsid w:val="00EE4DA5"/>
    <w:rsid w:val="00F20008"/>
    <w:rsid w:val="00F21E14"/>
    <w:rsid w:val="00F24247"/>
    <w:rsid w:val="00F54C44"/>
    <w:rsid w:val="00F649B4"/>
    <w:rsid w:val="00F83B5A"/>
    <w:rsid w:val="069A035E"/>
    <w:rsid w:val="0864642F"/>
    <w:rsid w:val="0AF210D8"/>
    <w:rsid w:val="0D572612"/>
    <w:rsid w:val="10061A87"/>
    <w:rsid w:val="110F67DD"/>
    <w:rsid w:val="13C04D4A"/>
    <w:rsid w:val="16F34160"/>
    <w:rsid w:val="1D5A219E"/>
    <w:rsid w:val="208337BA"/>
    <w:rsid w:val="20E8031C"/>
    <w:rsid w:val="24AF2DCF"/>
    <w:rsid w:val="24E1668C"/>
    <w:rsid w:val="27930786"/>
    <w:rsid w:val="2A4C7909"/>
    <w:rsid w:val="2BA64124"/>
    <w:rsid w:val="2E1E608D"/>
    <w:rsid w:val="2F01020E"/>
    <w:rsid w:val="2F040962"/>
    <w:rsid w:val="311D4015"/>
    <w:rsid w:val="3867280B"/>
    <w:rsid w:val="386F66A6"/>
    <w:rsid w:val="3BB64E6C"/>
    <w:rsid w:val="3EC12AD0"/>
    <w:rsid w:val="4034079E"/>
    <w:rsid w:val="40665EEC"/>
    <w:rsid w:val="47AB5A9F"/>
    <w:rsid w:val="4B5E12C9"/>
    <w:rsid w:val="4E2F2707"/>
    <w:rsid w:val="50DD0D41"/>
    <w:rsid w:val="51663E9C"/>
    <w:rsid w:val="555E38A4"/>
    <w:rsid w:val="55F12038"/>
    <w:rsid w:val="56737851"/>
    <w:rsid w:val="5CD56F26"/>
    <w:rsid w:val="5F3506E8"/>
    <w:rsid w:val="602038C2"/>
    <w:rsid w:val="64475F4F"/>
    <w:rsid w:val="68E36170"/>
    <w:rsid w:val="68FB74D2"/>
    <w:rsid w:val="697C48A6"/>
    <w:rsid w:val="6F4C11B6"/>
    <w:rsid w:val="6F9400B4"/>
    <w:rsid w:val="6FBA29E1"/>
    <w:rsid w:val="700D1339"/>
    <w:rsid w:val="71735DEE"/>
    <w:rsid w:val="71BC1CDB"/>
    <w:rsid w:val="730C532F"/>
    <w:rsid w:val="751F1A84"/>
    <w:rsid w:val="75497471"/>
    <w:rsid w:val="7E42556F"/>
    <w:rsid w:val="7FF1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color w:val="333333"/>
      <w:kern w:val="0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qFormat/>
    <w:uiPriority w:val="0"/>
    <w:pPr>
      <w:jc w:val="left"/>
    </w:pPr>
    <w:rPr>
      <w:kern w:val="0"/>
      <w:sz w:val="24"/>
    </w:rPr>
  </w:style>
  <w:style w:type="paragraph" w:styleId="4">
    <w:name w:val="Date"/>
    <w:basedOn w:val="1"/>
    <w:next w:val="1"/>
    <w:link w:val="30"/>
    <w:semiHidden/>
    <w:qFormat/>
    <w:uiPriority w:val="0"/>
    <w:pPr>
      <w:ind w:left="100" w:leftChars="2500"/>
    </w:pPr>
    <w:rPr>
      <w:kern w:val="0"/>
      <w:sz w:val="24"/>
    </w:rPr>
  </w:style>
  <w:style w:type="paragraph" w:styleId="5">
    <w:name w:val="Balloon Text"/>
    <w:basedOn w:val="1"/>
    <w:link w:val="27"/>
    <w:semiHidden/>
    <w:qFormat/>
    <w:uiPriority w:val="0"/>
    <w:rPr>
      <w:kern w:val="0"/>
      <w:sz w:val="18"/>
      <w:szCs w:val="18"/>
    </w:rPr>
  </w:style>
  <w:style w:type="paragraph" w:styleId="6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5"/>
    <w:semiHidden/>
    <w:qFormat/>
    <w:uiPriority w:val="0"/>
    <w:rPr>
      <w:b/>
      <w:bCs/>
    </w:rPr>
  </w:style>
  <w:style w:type="character" w:styleId="13">
    <w:name w:val="Strong"/>
    <w:qFormat/>
    <w:locked/>
    <w:uiPriority w:val="0"/>
    <w:rPr>
      <w:b/>
    </w:rPr>
  </w:style>
  <w:style w:type="character" w:styleId="14">
    <w:name w:val="page number"/>
    <w:basedOn w:val="12"/>
    <w:qFormat/>
    <w:uiPriority w:val="0"/>
    <w:rPr>
      <w:rFonts w:cs="Times New Roman"/>
    </w:rPr>
  </w:style>
  <w:style w:type="character" w:styleId="15">
    <w:name w:val="FollowedHyperlink"/>
    <w:qFormat/>
    <w:uiPriority w:val="0"/>
    <w:rPr>
      <w:color w:val="004276"/>
      <w:u w:val="none"/>
    </w:rPr>
  </w:style>
  <w:style w:type="character" w:styleId="16">
    <w:name w:val="Emphasis"/>
    <w:qFormat/>
    <w:locked/>
    <w:uiPriority w:val="0"/>
  </w:style>
  <w:style w:type="character" w:styleId="17">
    <w:name w:val="HTML Definition"/>
    <w:qFormat/>
    <w:uiPriority w:val="0"/>
  </w:style>
  <w:style w:type="character" w:styleId="18">
    <w:name w:val="HTML Variable"/>
    <w:qFormat/>
    <w:uiPriority w:val="0"/>
  </w:style>
  <w:style w:type="character" w:styleId="19">
    <w:name w:val="Hyperlink"/>
    <w:qFormat/>
    <w:uiPriority w:val="0"/>
    <w:rPr>
      <w:color w:val="004276"/>
      <w:u w:val="none"/>
    </w:rPr>
  </w:style>
  <w:style w:type="character" w:styleId="20">
    <w:name w:val="HTML Code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annotation reference"/>
    <w:semiHidden/>
    <w:qFormat/>
    <w:uiPriority w:val="0"/>
    <w:rPr>
      <w:rFonts w:cs="Times New Roman"/>
      <w:sz w:val="21"/>
      <w:szCs w:val="21"/>
    </w:rPr>
  </w:style>
  <w:style w:type="character" w:styleId="22">
    <w:name w:val="HTML Cite"/>
    <w:qFormat/>
    <w:uiPriority w:val="0"/>
    <w:rPr>
      <w:sz w:val="16"/>
      <w:szCs w:val="0"/>
    </w:rPr>
  </w:style>
  <w:style w:type="character" w:styleId="23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5">
    <w:name w:val="批注主题 Char"/>
    <w:link w:val="10"/>
    <w:semiHidden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6">
    <w:name w:val="fontstrikethrough"/>
    <w:qFormat/>
    <w:uiPriority w:val="0"/>
    <w:rPr>
      <w:strike/>
    </w:rPr>
  </w:style>
  <w:style w:type="character" w:customStyle="1" w:styleId="27">
    <w:name w:val="批注框文本 Char"/>
    <w:link w:val="5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批注文字 Char"/>
    <w:link w:val="3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0">
    <w:name w:val="日期 Char"/>
    <w:link w:val="4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1">
    <w:name w:val="fontborder"/>
    <w:qFormat/>
    <w:uiPriority w:val="0"/>
    <w:rPr>
      <w:bdr w:val="single" w:color="000000" w:sz="6" w:space="0"/>
    </w:rPr>
  </w:style>
  <w:style w:type="character" w:customStyle="1" w:styleId="32">
    <w:name w:val="HTML 预设格式 Char"/>
    <w:link w:val="8"/>
    <w:qFormat/>
    <w:locked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33">
    <w:name w:val="页眉 Char"/>
    <w:link w:val="7"/>
    <w:qFormat/>
    <w:locked/>
    <w:uiPriority w:val="99"/>
    <w:rPr>
      <w:rFonts w:cs="Times New Roman"/>
      <w:sz w:val="18"/>
      <w:szCs w:val="18"/>
    </w:rPr>
  </w:style>
  <w:style w:type="paragraph" w:styleId="34">
    <w:name w:val="No Spacing"/>
    <w:link w:val="3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5">
    <w:name w:val="无间隔 Char"/>
    <w:basedOn w:val="12"/>
    <w:link w:val="34"/>
    <w:qFormat/>
    <w:uiPriority w:val="1"/>
    <w:rPr>
      <w:rFonts w:ascii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11</Pages>
  <Words>4030</Words>
  <Characters>4338</Characters>
  <Lines>33</Lines>
  <Paragraphs>9</Paragraphs>
  <TotalTime>9</TotalTime>
  <ScaleCrop>false</ScaleCrop>
  <LinksUpToDate>false</LinksUpToDate>
  <CharactersWithSpaces>4342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2023-03-03T06:55:00Z</dcterms:created>
  <dc:creator>高军(主办司局联络员)</dc:creator>
  <cp:lastModifiedBy>Smile</cp:lastModifiedBy>
  <cp:lastPrinted>2023-03-02T02:56:00Z</cp:lastPrinted>
  <dcterms:modified xsi:type="dcterms:W3CDTF">2023-05-24T01:36:30Z</dcterms:modified>
  <dc:title>教体艺函〔2017〕*号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409A81CFD2604967AD2D79A722256AAE</vt:lpwstr>
  </property>
</Properties>
</file>