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黑体" w:hAnsi="黑体" w:eastAsia="黑体" w:cs="黑体"/>
          <w:sz w:val="32"/>
          <w:szCs w:val="32"/>
        </w:rPr>
      </w:pPr>
      <w:r>
        <w:rPr>
          <w:rFonts w:hint="eastAsia" w:ascii="黑体" w:hAnsi="黑体" w:eastAsia="黑体" w:cs="黑体"/>
          <w:sz w:val="32"/>
          <w:szCs w:val="32"/>
        </w:rPr>
        <w:t>附件2</w:t>
      </w:r>
    </w:p>
    <w:p>
      <w:pPr>
        <w:spacing w:line="600" w:lineRule="exact"/>
        <w:ind w:firstLine="42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第</w:t>
      </w:r>
      <w:r>
        <w:rPr>
          <w:rFonts w:hint="eastAsia" w:ascii="方正小标宋简体" w:hAnsi="Times New Roman" w:eastAsia="方正小标宋简体" w:cs="Times New Roman"/>
          <w:sz w:val="44"/>
          <w:szCs w:val="44"/>
          <w:lang w:val="en-US" w:eastAsia="zh-CN"/>
        </w:rPr>
        <w:t>六</w:t>
      </w:r>
      <w:r>
        <w:rPr>
          <w:rFonts w:hint="eastAsia" w:ascii="方正小标宋简体" w:hAnsi="Times New Roman" w:eastAsia="方正小标宋简体" w:cs="Times New Roman"/>
          <w:sz w:val="44"/>
          <w:szCs w:val="44"/>
        </w:rPr>
        <w:t>届中华经典诵写讲大赛</w:t>
      </w:r>
    </w:p>
    <w:p>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“诗教中国”诗词讲解大赛方案</w:t>
      </w:r>
    </w:p>
    <w:p>
      <w:pPr>
        <w:spacing w:line="600" w:lineRule="exact"/>
        <w:ind w:firstLine="420"/>
        <w:jc w:val="center"/>
        <w:rPr>
          <w:rFonts w:ascii="方正小标宋简体" w:hAnsi="Times New Roman" w:eastAsia="方正小标宋简体" w:cs="Times New Roman"/>
          <w:sz w:val="44"/>
          <w:szCs w:val="44"/>
        </w:rPr>
      </w:pPr>
    </w:p>
    <w:p>
      <w:pPr>
        <w:spacing w:line="560" w:lineRule="exact"/>
        <w:ind w:firstLine="640" w:firstLineChars="200"/>
        <w:rPr>
          <w:rFonts w:hint="eastAsia" w:ascii="黑体" w:hAnsi="黑体" w:eastAsia="黑体" w:cs="黑体"/>
          <w:sz w:val="32"/>
          <w:szCs w:val="32"/>
        </w:rPr>
      </w:pPr>
      <w:r>
        <w:rPr>
          <w:rFonts w:hint="eastAsia" w:ascii="仿宋_GB2312" w:hAnsi="Times New Roman" w:eastAsia="仿宋_GB2312" w:cs="Times New Roman"/>
          <w:sz w:val="32"/>
          <w:szCs w:val="32"/>
        </w:rPr>
        <w:t>为传承弘扬中华优秀语言文化，深入实施“典耀中华”主题读书行动，充分挖掘中华经典诗词中所蕴含的民族正气、爱国情怀、道德品质和艺术魅力，特委托北京师范大学、高等教育出版社承办“诗教中国”诗词讲解大赛(以下简称讲解大赛),并制定方案如下。</w:t>
      </w:r>
    </w:p>
    <w:p>
      <w:pPr>
        <w:spacing w:line="560" w:lineRule="exact"/>
        <w:ind w:firstLine="640" w:firstLineChars="200"/>
        <w:rPr>
          <w:rFonts w:ascii="仿宋_GB2312" w:hAnsi="Times New Roman" w:eastAsia="仿宋_GB2312" w:cs="Times New Roman"/>
          <w:sz w:val="32"/>
          <w:szCs w:val="32"/>
        </w:rPr>
      </w:pPr>
      <w:r>
        <w:rPr>
          <w:rFonts w:hint="eastAsia" w:ascii="黑体" w:hAnsi="黑体" w:eastAsia="黑体" w:cs="黑体"/>
          <w:sz w:val="32"/>
          <w:szCs w:val="32"/>
        </w:rPr>
        <w:t>一、参赛对象与组别</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参赛对象为在校大学生、留学生及全国大中小学校在职教师。</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分为小学教师组、中学教师组（含中职教师）、大学教师组（含高职教师）、大学生组（含高职学生、研究生）、留学生组，共5个组别。</w:t>
      </w:r>
    </w:p>
    <w:p>
      <w:pPr>
        <w:spacing w:line="560" w:lineRule="exact"/>
        <w:ind w:firstLine="640" w:firstLineChars="200"/>
        <w:rPr>
          <w:rFonts w:ascii="仿宋_GB2312" w:hAnsi="Times New Roman" w:eastAsia="仿宋_GB2312" w:cs="Times New Roman"/>
          <w:sz w:val="32"/>
          <w:szCs w:val="32"/>
        </w:rPr>
      </w:pPr>
      <w:r>
        <w:rPr>
          <w:rFonts w:hint="eastAsia" w:ascii="黑体" w:hAnsi="黑体" w:eastAsia="黑体" w:cs="黑体"/>
          <w:sz w:val="32"/>
          <w:szCs w:val="32"/>
        </w:rPr>
        <w:t>二、参赛要求</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（一）内容要求</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讲解须使用国家通用语言文字，内容应为列入教育部统编中小学</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lang w:val="en-US" w:eastAsia="zh-CN"/>
        </w:rPr>
        <w:t>含中职</w:t>
      </w:r>
      <w:bookmarkStart w:id="0" w:name="_GoBack"/>
      <w:bookmarkEnd w:id="0"/>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语文教材、普通高等教育国家级规划教材及高等职业教育国家规划教材的大学语文教材中的一首经典诗词作品。</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参赛教师应广泛阅读相关书籍，按照课堂教学相关要求，遵循诗词教育基本规律和学术规范，录制以诗词教学为主要内容的微课视频。</w:t>
      </w:r>
    </w:p>
    <w:p>
      <w:pPr>
        <w:spacing w:line="560" w:lineRule="exact"/>
        <w:ind w:firstLine="640" w:firstLineChars="200"/>
        <w:rPr>
          <w:rFonts w:ascii="楷体" w:hAnsi="楷体" w:eastAsia="楷体" w:cs="楷体"/>
          <w:sz w:val="32"/>
          <w:szCs w:val="32"/>
        </w:rPr>
      </w:pPr>
      <w:r>
        <w:rPr>
          <w:rFonts w:hint="eastAsia" w:ascii="仿宋_GB2312" w:hAnsi="Times New Roman" w:eastAsia="仿宋_GB2312" w:cs="Times New Roman"/>
          <w:sz w:val="32"/>
          <w:szCs w:val="32"/>
        </w:rPr>
        <w:t>参赛大学生及留学生结合个人生活经验与感受，讲解诗词作品，并阐述诗词的意义与价值，使用多媒体及其他创新形式录制讲解视频。</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（二）形式要求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参赛作品要求为202</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年新录制创作的视频，横屏拍摄，格式为MP4，长度为5—8分钟，清晰度不低于720P，大小不超过700MB，图像、声音清晰，不抖动、无噪音，参赛者须出镜。</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视频文字建议使用方正字库字体或其他有版权的字体，视频开头以文字方式展示作品名称及作品作者、参赛者姓名、指导教师、组别等信息，信息须正确、规范，与赛事平台填报信息一致。大赛官网提供片头模板和字幕标准。</w:t>
      </w:r>
    </w:p>
    <w:p>
      <w:pPr>
        <w:spacing w:line="560" w:lineRule="exact"/>
        <w:ind w:firstLine="640" w:firstLineChars="200"/>
        <w:rPr>
          <w:rFonts w:ascii="仿宋_GB2312" w:hAnsi="Times New Roman" w:eastAsia="仿宋_GB2312" w:cs="Times New Roman"/>
          <w:sz w:val="32"/>
          <w:szCs w:val="32"/>
        </w:rPr>
      </w:pPr>
      <w:r>
        <w:rPr>
          <w:rFonts w:hint="eastAsia" w:ascii="楷体" w:hAnsi="楷体" w:eastAsia="楷体" w:cs="楷体"/>
          <w:sz w:val="32"/>
          <w:szCs w:val="32"/>
        </w:rPr>
        <w:t>（三）其他要求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每人限报1件作品，限1名指导教师。同一作品的参赛者不得同时署名该作品的指导教师。作品进入评审阶段后，相关信息不得更改。</w:t>
      </w:r>
    </w:p>
    <w:p>
      <w:pPr>
        <w:spacing w:line="560" w:lineRule="exact"/>
        <w:ind w:firstLine="640" w:firstLineChars="200"/>
        <w:rPr>
          <w:rFonts w:ascii="仿宋_GB2312" w:hAnsi="Times New Roman" w:eastAsia="仿宋_GB2312" w:cs="Times New Roman"/>
          <w:sz w:val="32"/>
          <w:szCs w:val="32"/>
        </w:rPr>
      </w:pPr>
      <w:r>
        <w:rPr>
          <w:rFonts w:hint="eastAsia" w:ascii="黑体" w:hAnsi="黑体" w:eastAsia="黑体" w:cs="黑体"/>
          <w:sz w:val="32"/>
          <w:szCs w:val="32"/>
        </w:rPr>
        <w:t>三、赛程安排</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（一）初赛：2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w:t>
      </w:r>
      <w:r>
        <w:rPr>
          <w:rFonts w:ascii="楷体" w:hAnsi="楷体" w:eastAsia="楷体" w:cs="楷体"/>
          <w:sz w:val="32"/>
          <w:szCs w:val="32"/>
        </w:rPr>
        <w:t>4</w:t>
      </w:r>
      <w:r>
        <w:rPr>
          <w:rFonts w:hint="eastAsia" w:ascii="楷体" w:hAnsi="楷体" w:eastAsia="楷体" w:cs="楷体"/>
          <w:sz w:val="32"/>
          <w:szCs w:val="32"/>
        </w:rPr>
        <w:t>月</w:t>
      </w:r>
      <w:r>
        <w:rPr>
          <w:rFonts w:ascii="楷体" w:hAnsi="楷体" w:eastAsia="楷体" w:cs="楷体"/>
          <w:sz w:val="32"/>
          <w:szCs w:val="32"/>
        </w:rPr>
        <w:t>21</w:t>
      </w:r>
      <w:r>
        <w:rPr>
          <w:rFonts w:hint="eastAsia" w:ascii="楷体" w:hAnsi="楷体" w:eastAsia="楷体" w:cs="楷体"/>
          <w:sz w:val="32"/>
          <w:szCs w:val="32"/>
        </w:rPr>
        <w:t>日至</w:t>
      </w:r>
      <w:r>
        <w:rPr>
          <w:rFonts w:ascii="楷体" w:hAnsi="楷体" w:eastAsia="楷体" w:cs="楷体"/>
          <w:sz w:val="32"/>
          <w:szCs w:val="32"/>
        </w:rPr>
        <w:t>5</w:t>
      </w:r>
      <w:r>
        <w:rPr>
          <w:rFonts w:hint="eastAsia" w:ascii="楷体" w:hAnsi="楷体" w:eastAsia="楷体" w:cs="楷体"/>
          <w:sz w:val="32"/>
          <w:szCs w:val="32"/>
        </w:rPr>
        <w:t>月</w:t>
      </w:r>
      <w:r>
        <w:rPr>
          <w:rFonts w:ascii="楷体" w:hAnsi="楷体" w:eastAsia="楷体" w:cs="楷体"/>
          <w:sz w:val="32"/>
          <w:szCs w:val="32"/>
        </w:rPr>
        <w:t>31</w:t>
      </w:r>
      <w:r>
        <w:rPr>
          <w:rFonts w:hint="eastAsia" w:ascii="楷体" w:hAnsi="楷体" w:eastAsia="楷体" w:cs="楷体"/>
          <w:sz w:val="32"/>
          <w:szCs w:val="32"/>
        </w:rPr>
        <w:t>日</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参赛者登录大赛官网（</w:t>
      </w:r>
      <w:r>
        <w:rPr>
          <w:rFonts w:ascii="仿宋_GB2312" w:hAnsi="Times New Roman" w:eastAsia="仿宋_GB2312" w:cs="Times New Roman"/>
          <w:sz w:val="32"/>
          <w:szCs w:val="32"/>
        </w:rPr>
        <w:t>www.jingdiansxj.cn</w:t>
      </w:r>
      <w:r>
        <w:rPr>
          <w:rFonts w:hint="eastAsia" w:ascii="仿宋_GB2312" w:hAnsi="Times New Roman" w:eastAsia="仿宋_GB2312" w:cs="Times New Roman"/>
          <w:sz w:val="32"/>
          <w:szCs w:val="32"/>
        </w:rPr>
        <w:t>），按照参赛指引自主完成报名，并参加诗词经典素养在线测试，报名和测试时间截至5月31日17:00。测试可进行3次（以正式提交为准），系统确定最高分为最终成绩。按初赛测试成绩排序确定入围复赛人员。</w:t>
      </w:r>
    </w:p>
    <w:p>
      <w:pPr>
        <w:spacing w:line="560" w:lineRule="exact"/>
        <w:ind w:firstLine="640" w:firstLineChars="200"/>
        <w:rPr>
          <w:rFonts w:ascii="仿宋_GB2312" w:hAnsi="Times New Roman" w:eastAsia="仿宋_GB2312" w:cs="Times New Roman"/>
          <w:sz w:val="32"/>
          <w:szCs w:val="32"/>
        </w:rPr>
      </w:pPr>
      <w:r>
        <w:rPr>
          <w:rFonts w:hint="eastAsia" w:ascii="楷体" w:hAnsi="楷体" w:eastAsia="楷体" w:cs="楷体"/>
          <w:sz w:val="32"/>
          <w:szCs w:val="32"/>
        </w:rPr>
        <w:t>（二）复赛：2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w:t>
      </w:r>
      <w:r>
        <w:rPr>
          <w:rFonts w:ascii="楷体" w:hAnsi="楷体" w:eastAsia="楷体" w:cs="楷体"/>
          <w:sz w:val="32"/>
          <w:szCs w:val="32"/>
        </w:rPr>
        <w:t>6</w:t>
      </w:r>
      <w:r>
        <w:rPr>
          <w:rFonts w:hint="eastAsia" w:ascii="楷体" w:hAnsi="楷体" w:eastAsia="楷体" w:cs="楷体"/>
          <w:sz w:val="32"/>
          <w:szCs w:val="32"/>
        </w:rPr>
        <w:t>月至</w:t>
      </w:r>
      <w:r>
        <w:rPr>
          <w:rFonts w:ascii="楷体" w:hAnsi="楷体" w:eastAsia="楷体" w:cs="楷体"/>
          <w:sz w:val="32"/>
          <w:szCs w:val="32"/>
        </w:rPr>
        <w:t>7</w:t>
      </w:r>
      <w:r>
        <w:rPr>
          <w:rFonts w:hint="eastAsia" w:ascii="楷体" w:hAnsi="楷体" w:eastAsia="楷体" w:cs="楷体"/>
          <w:sz w:val="32"/>
          <w:szCs w:val="32"/>
        </w:rPr>
        <w:t>月</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参赛者于6月25日17:00前通过大赛网站提交1篇原创书评（对象为与经典诗词相关书籍，字数在1000—3000字；文章如有抄袭，取消参赛资格），文件格式为DOC或DOCX。分赛项执委会组织专家评审确定入围半决赛的参赛者。入围半决赛的参赛者按要求录制参赛视频、登录大赛官网填写基本信息、下载片头模板、合成作品并上传。作品上传时间截至7月31日17:00。</w:t>
      </w:r>
    </w:p>
    <w:p>
      <w:pPr>
        <w:spacing w:line="560" w:lineRule="exact"/>
        <w:ind w:firstLine="640" w:firstLineChars="200"/>
        <w:rPr>
          <w:rFonts w:ascii="仿宋_GB2312" w:hAnsi="Times New Roman" w:eastAsia="仿宋_GB2312" w:cs="Times New Roman"/>
          <w:sz w:val="32"/>
          <w:szCs w:val="32"/>
        </w:rPr>
      </w:pPr>
      <w:r>
        <w:rPr>
          <w:rFonts w:hint="eastAsia" w:ascii="楷体" w:hAnsi="楷体" w:eastAsia="楷体" w:cs="楷体"/>
          <w:sz w:val="32"/>
          <w:szCs w:val="32"/>
        </w:rPr>
        <w:t>（三）决赛：2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年8月至</w:t>
      </w:r>
      <w:r>
        <w:rPr>
          <w:rFonts w:ascii="楷体" w:hAnsi="楷体" w:eastAsia="楷体" w:cs="楷体"/>
          <w:sz w:val="32"/>
          <w:szCs w:val="32"/>
        </w:rPr>
        <w:t>9</w:t>
      </w:r>
      <w:r>
        <w:rPr>
          <w:rFonts w:hint="eastAsia" w:ascii="楷体" w:hAnsi="楷体" w:eastAsia="楷体" w:cs="楷体"/>
          <w:sz w:val="32"/>
          <w:szCs w:val="32"/>
        </w:rPr>
        <w:t>月</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决赛分为半决赛和总决赛。根据所有入围半决赛的作品成绩排序，确定三等奖、优秀奖作品及入围总决赛的参赛者。通过总决赛确定一等奖和二等奖作品</w:t>
      </w:r>
    </w:p>
    <w:p>
      <w:pPr>
        <w:spacing w:line="560" w:lineRule="exact"/>
        <w:ind w:firstLine="640" w:firstLineChars="200"/>
        <w:rPr>
          <w:rFonts w:ascii="仿宋_GB2312" w:hAnsi="Times New Roman" w:eastAsia="仿宋_GB2312" w:cs="Times New Roman"/>
          <w:sz w:val="32"/>
          <w:szCs w:val="32"/>
        </w:rPr>
      </w:pPr>
      <w:r>
        <w:rPr>
          <w:rFonts w:hint="eastAsia" w:ascii="楷体" w:hAnsi="楷体" w:eastAsia="楷体" w:cs="楷体"/>
          <w:sz w:val="32"/>
          <w:szCs w:val="32"/>
        </w:rPr>
        <w:t>（四）展示：2</w:t>
      </w:r>
      <w:r>
        <w:rPr>
          <w:rFonts w:ascii="楷体" w:hAnsi="楷体" w:eastAsia="楷体" w:cs="楷体"/>
          <w:sz w:val="32"/>
          <w:szCs w:val="32"/>
        </w:rPr>
        <w:t>02</w:t>
      </w:r>
      <w:r>
        <w:rPr>
          <w:rFonts w:hint="eastAsia" w:ascii="楷体" w:hAnsi="楷体" w:eastAsia="楷体" w:cs="楷体"/>
          <w:sz w:val="32"/>
          <w:szCs w:val="32"/>
          <w:lang w:val="en-US" w:eastAsia="zh-CN"/>
        </w:rPr>
        <w:t>4</w:t>
      </w:r>
      <w:r>
        <w:rPr>
          <w:rFonts w:hint="eastAsia" w:ascii="楷体" w:hAnsi="楷体" w:eastAsia="楷体" w:cs="楷体"/>
          <w:sz w:val="32"/>
          <w:szCs w:val="32"/>
        </w:rPr>
        <w:t>年10月至12月</w:t>
      </w:r>
    </w:p>
    <w:p>
      <w:pPr>
        <w:spacing w:line="560" w:lineRule="exact"/>
        <w:ind w:firstLine="640" w:firstLineChars="200"/>
        <w:rPr>
          <w:rFonts w:hint="eastAsia" w:ascii="仿宋_GB2312" w:hAnsi="Times New Roman" w:eastAsia="仿宋_GB2312" w:cs="Times New Roman"/>
          <w:sz w:val="32"/>
          <w:szCs w:val="32"/>
        </w:rPr>
      </w:pPr>
      <w:r>
        <w:rPr>
          <w:rFonts w:ascii="仿宋_GB2312" w:hAnsi="Times New Roman" w:eastAsia="仿宋_GB2312" w:cs="Times New Roman"/>
          <w:sz w:val="32"/>
          <w:szCs w:val="32"/>
        </w:rPr>
        <w:t>优秀作品将在相关媒体平台进行展示，部分获奖选手将参与线上线下专题展示等。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jYmM5OWYyOWNiYTk5MzNmMWZmZWFkNWUzMGZiMzMifQ=="/>
  </w:docVars>
  <w:rsids>
    <w:rsidRoot w:val="2F6F3931"/>
    <w:rsid w:val="003005AC"/>
    <w:rsid w:val="0068016D"/>
    <w:rsid w:val="00C475B3"/>
    <w:rsid w:val="00F15179"/>
    <w:rsid w:val="00F7555B"/>
    <w:rsid w:val="06D72638"/>
    <w:rsid w:val="143F084A"/>
    <w:rsid w:val="20B32BFF"/>
    <w:rsid w:val="24616227"/>
    <w:rsid w:val="2F6F3931"/>
    <w:rsid w:val="4F2B7D51"/>
    <w:rsid w:val="518517D1"/>
    <w:rsid w:val="614D042B"/>
    <w:rsid w:val="62FE416A"/>
    <w:rsid w:val="70662762"/>
    <w:rsid w:val="77EC1269"/>
    <w:rsid w:val="79A44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1074</Words>
  <Characters>1196</Characters>
  <Lines>8</Lines>
  <Paragraphs>2</Paragraphs>
  <TotalTime>21</TotalTime>
  <ScaleCrop>false</ScaleCrop>
  <LinksUpToDate>false</LinksUpToDate>
  <CharactersWithSpaces>1228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2022-05-04T04:46:00Z</dcterms:created>
  <dc:creator>Administrator</dc:creator>
  <cp:lastModifiedBy>落叶～定格</cp:lastModifiedBy>
  <dcterms:modified xsi:type="dcterms:W3CDTF">2024-05-08T04:45:44Z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8FB27D64AB364E7D94598EB33C0697B1_13</vt:lpwstr>
  </property>
</Properties>
</file>